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36F6" w14:textId="61877C9A" w:rsidR="006F1CDA" w:rsidRDefault="006F1CDA" w:rsidP="006F1CDA">
      <w:pPr>
        <w:jc w:val="left"/>
      </w:pPr>
      <w:r>
        <w:t>Passenger figures for Knott End – Fleetwood Ferry</w:t>
      </w:r>
    </w:p>
    <w:p w14:paraId="0BA4F9E1" w14:textId="77777777" w:rsidR="005E4C72" w:rsidRDefault="005E4C72" w:rsidP="006F1CDA">
      <w:pPr>
        <w:jc w:val="left"/>
      </w:pPr>
    </w:p>
    <w:p w14:paraId="19174F0F" w14:textId="2E40B3F0" w:rsidR="005E4C72" w:rsidRDefault="005E4C72" w:rsidP="006F1CDA">
      <w:pPr>
        <w:jc w:val="left"/>
      </w:pPr>
    </w:p>
    <w:tbl>
      <w:tblPr>
        <w:tblpPr w:leftFromText="180" w:rightFromText="180" w:vertAnchor="text" w:horzAnchor="margin" w:tblpXSpec="center" w:tblpY="-48"/>
        <w:tblW w:w="11194" w:type="dxa"/>
        <w:tblLook w:val="04A0" w:firstRow="1" w:lastRow="0" w:firstColumn="1" w:lastColumn="0" w:noHBand="0" w:noVBand="1"/>
      </w:tblPr>
      <w:tblGrid>
        <w:gridCol w:w="1203"/>
        <w:gridCol w:w="1122"/>
        <w:gridCol w:w="717"/>
        <w:gridCol w:w="717"/>
        <w:gridCol w:w="660"/>
        <w:gridCol w:w="829"/>
        <w:gridCol w:w="660"/>
        <w:gridCol w:w="1490"/>
        <w:gridCol w:w="1122"/>
        <w:gridCol w:w="717"/>
        <w:gridCol w:w="717"/>
        <w:gridCol w:w="660"/>
        <w:gridCol w:w="829"/>
      </w:tblGrid>
      <w:tr w:rsidR="005E4C72" w:rsidRPr="005E4C72" w14:paraId="71EC914C" w14:textId="77777777" w:rsidTr="00F93D56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59268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27372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Passenger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7B893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4AF53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Bike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AE25B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Dog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96BB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500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C902C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7B29F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Passenger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0499C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8C4CF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Bike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71B29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Dog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254B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348C01D5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8F15C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April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84C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7CD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E26F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8F1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55CC2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79A9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FC138C" w14:textId="205E0ED3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April </w:t>
            </w:r>
            <w:r w:rsidR="00DB1CE8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C2D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A76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5F0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815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7CE4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60A5318E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2F1B6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FBC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3,111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1ED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043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81A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B9454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2320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1E367A" w14:textId="536B8739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r w:rsidR="00DB1CE8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B47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4AB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2B1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24C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719B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5061A26C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6B042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37C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3,849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2DC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E69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A99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F0D4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9DA1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B8EE32" w14:textId="5F2F75FD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  <w:r w:rsidR="00DB1CE8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EF2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C4C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A15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766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30132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1E7356B6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A0D91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D2C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4,575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DA5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D80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722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95F0B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FD090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90D43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4F4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5E0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540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9B6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D14CA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0CCE9F52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D248F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75E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8,229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61D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C09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076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AF1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F9DF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D4A4C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2F63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4,084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2FC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23E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58F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4B69F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460771D7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C2D10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ABC6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4,329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7A2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457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BB4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A4C7C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52C00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B5FF0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63B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3,550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8D6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1A3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696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3671B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1FFEA994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A728B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AAC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2,422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48A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A0C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2E1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B6C6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922A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C90CA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5F3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B6F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51A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870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BC7C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4D88494F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BC660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2535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DB3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E0C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4DC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154BC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C85CB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0579E2" w14:textId="4DEF961F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  <w:r w:rsidR="00DB1CE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DBB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1A9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73ED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AC9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726CC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1427C239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71367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3F4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6EE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E53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DEF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7EDB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E7BA9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EAF603" w14:textId="7B5F03B1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  <w:r w:rsidR="00DB1CE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8F0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EE3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986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F6D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8A7BC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301DFBF2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52BFF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A74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E16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D219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147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02ADD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24D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B75406" w14:textId="071D94BE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  <w:r w:rsidR="00DB1CE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570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64A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B60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0B3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8981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5D443146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5743D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492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146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23B6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421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79C0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64DB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CE28E8" w14:textId="14DFDED2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February</w:t>
            </w:r>
            <w:r w:rsidR="00DB1CE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41B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155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495F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7CD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7ECC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23382B39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232A1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72A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1,121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3B8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48C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4CC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97A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0EE7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908BF5" w14:textId="6B73CEB1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  <w:r w:rsidR="00DB1CE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204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26F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CB4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BB0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0442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5F26D60F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FBF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75909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30,613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38EAD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1,959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9608D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2,083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DE8FB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CA836" w14:textId="77777777" w:rsidR="005E4C72" w:rsidRPr="005E4C72" w:rsidRDefault="005E4C72" w:rsidP="006F4D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35,427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110F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14671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E8164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9,575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AC32C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240B8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DB05B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74F37" w14:textId="77777777" w:rsidR="005E4C72" w:rsidRPr="005E4C72" w:rsidRDefault="005E4C72" w:rsidP="006F4D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11,286</w:t>
            </w:r>
          </w:p>
        </w:tc>
      </w:tr>
      <w:tr w:rsidR="005E4C72" w:rsidRPr="005E4C72" w14:paraId="4D9D44C8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ED88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6E15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403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735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58F6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1DDD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9C67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6CB3A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1F34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CCB09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5D423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82194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DCBE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3C8D2581" w14:textId="77777777" w:rsidTr="00F93D56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648BB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2019-20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51BEC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Passenger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0FDDE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C2024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Bike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DE193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Dog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080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2E576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79AF7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2018-19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4C582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Passenger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DE51F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FB585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Bike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797CE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Dog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FF8A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49408079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E48D9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April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ED5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4,664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BBA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290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858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7F07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C0F3A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C0FC4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April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682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D43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54B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D6C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61D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1FE086D4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8D761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9C9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3,381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EC5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372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843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D840D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FB360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613CB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412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5,925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5AB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635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FAC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DBB20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4A5567C6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A1427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B13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3,299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150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47B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3A3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9BC2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8243D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E30BE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D862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4,881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2DB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352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DBE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35375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6A65D75D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7B009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20BF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4,991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4F7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F23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A56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CACA6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7FC26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C11F3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398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6,433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B56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3E7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B76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73E1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46B931EF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03F0E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0A9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4,839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049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13F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4DD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EF9CA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7533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DA15E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DAE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6,082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6D3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B1A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D88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1F88E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6B56A125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BD693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9BF6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2,819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2E7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EAC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1F4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9CBE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BF67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1B447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7DA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3,764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C73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12C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EE1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6A8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555E4A0A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70FC0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896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2,626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89B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F68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248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610C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F0AF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9255E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0B6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3,111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A7D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92A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B2A8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468D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2181AFBC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4B520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9BB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14F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3A2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854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5EA5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9B5F6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A665E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FA7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1,348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222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8B2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7EF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E64E6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0D63B43C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3F939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EEF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047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8624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27F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1754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E13B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618DF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2E8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875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6C8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FD5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AFF9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2F1B641F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060DE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3CC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658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A21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64A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720E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4CD2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46BD9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8D7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D8C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669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AB5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3EA96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3EFC780E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DCB4D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125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6277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193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3BD9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E5DF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8762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759F9B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D17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1,617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8284D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180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500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2E9F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4846D9D2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96994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5EF1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051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00E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6FD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16CDC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9F5C8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36ECE5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F51E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574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9D9A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E4E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4D9A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C72" w:rsidRPr="005E4C72" w14:paraId="7591AA1C" w14:textId="77777777" w:rsidTr="00F93D56">
        <w:trPr>
          <w:trHeight w:val="23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F3510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43969C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29,880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F59273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1,921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000CF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1,690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FE0246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0727" w14:textId="77777777" w:rsidR="005E4C72" w:rsidRPr="005E4C72" w:rsidRDefault="005E4C72" w:rsidP="006F4D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34,151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14733" w14:textId="77777777" w:rsidR="005E4C72" w:rsidRPr="005E4C72" w:rsidRDefault="005E4C72" w:rsidP="006F4DE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535CF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9E2E9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38,006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6D9838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2,636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755584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2,321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5E7322" w14:textId="77777777" w:rsidR="005E4C72" w:rsidRPr="005E4C72" w:rsidRDefault="005E4C72" w:rsidP="006F4D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3B272" w14:textId="77777777" w:rsidR="005E4C72" w:rsidRPr="005E4C72" w:rsidRDefault="005E4C72" w:rsidP="006F4D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C72">
              <w:rPr>
                <w:rFonts w:ascii="Calibri" w:hAnsi="Calibri" w:cs="Calibri"/>
                <w:color w:val="000000"/>
                <w:sz w:val="22"/>
                <w:szCs w:val="22"/>
              </w:rPr>
              <w:t>43,764</w:t>
            </w:r>
          </w:p>
        </w:tc>
      </w:tr>
    </w:tbl>
    <w:p w14:paraId="0343CE97" w14:textId="77777777" w:rsidR="005E4C72" w:rsidRDefault="005E4C72" w:rsidP="006F1CDA">
      <w:pPr>
        <w:jc w:val="left"/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10632"/>
      </w:tblGrid>
      <w:tr w:rsidR="006F1CDA" w:rsidRPr="00A05B8A" w14:paraId="3FD1A38D" w14:textId="77777777" w:rsidTr="00F93D56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92C7" w14:textId="77777777" w:rsidR="006F1CDA" w:rsidRPr="00A05B8A" w:rsidRDefault="006F1CDA" w:rsidP="005A6C75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05B8A">
              <w:rPr>
                <w:rFonts w:ascii="Calibri" w:hAnsi="Calibri" w:cs="Calibri"/>
                <w:color w:val="000000"/>
                <w:sz w:val="20"/>
              </w:rPr>
              <w:t xml:space="preserve">* Crew furloughed </w:t>
            </w:r>
          </w:p>
        </w:tc>
      </w:tr>
      <w:tr w:rsidR="006F1CDA" w:rsidRPr="00A05B8A" w14:paraId="7E1B12AE" w14:textId="77777777" w:rsidTr="00F93D56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C2818" w14:textId="77777777" w:rsidR="006F1CDA" w:rsidRPr="00A05B8A" w:rsidRDefault="006F1CDA" w:rsidP="005A6C75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05B8A">
              <w:rPr>
                <w:rFonts w:ascii="Calibri" w:hAnsi="Calibri" w:cs="Calibri"/>
                <w:color w:val="000000"/>
                <w:sz w:val="20"/>
              </w:rPr>
              <w:t>** Restart 25 July</w:t>
            </w:r>
          </w:p>
        </w:tc>
      </w:tr>
      <w:tr w:rsidR="006F1CDA" w:rsidRPr="00A05B8A" w14:paraId="34410AF2" w14:textId="77777777" w:rsidTr="00F93D56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8A7FA" w14:textId="77777777" w:rsidR="006F1CDA" w:rsidRPr="00A05B8A" w:rsidRDefault="006F1CDA" w:rsidP="005A6C75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05B8A">
              <w:rPr>
                <w:rFonts w:ascii="Calibri" w:hAnsi="Calibri" w:cs="Calibri"/>
                <w:color w:val="000000"/>
                <w:sz w:val="20"/>
              </w:rPr>
              <w:t>*** Furlough from 6 Nov</w:t>
            </w:r>
          </w:p>
        </w:tc>
      </w:tr>
    </w:tbl>
    <w:p w14:paraId="3E4DB9C2" w14:textId="77777777" w:rsidR="006F1CDA" w:rsidRDefault="006F1CDA" w:rsidP="006F1CDA">
      <w:pPr>
        <w:pStyle w:val="Footer"/>
      </w:pPr>
    </w:p>
    <w:p w14:paraId="099DEA73" w14:textId="506C0266" w:rsidR="006F1CDA" w:rsidRDefault="006F1CDA">
      <w:pPr>
        <w:spacing w:after="160" w:line="259" w:lineRule="auto"/>
        <w:jc w:val="left"/>
      </w:pPr>
    </w:p>
    <w:p w14:paraId="5AA4DDF1" w14:textId="6F743788" w:rsidR="004121EA" w:rsidRPr="005E4C72" w:rsidRDefault="004121EA">
      <w:pPr>
        <w:spacing w:after="160" w:line="259" w:lineRule="auto"/>
        <w:jc w:val="left"/>
        <w:rPr>
          <w:rFonts w:cs="Arial"/>
          <w:b/>
          <w:bCs/>
          <w:szCs w:val="24"/>
        </w:rPr>
      </w:pPr>
      <w:r w:rsidRPr="005E4C72">
        <w:rPr>
          <w:rFonts w:cs="Arial"/>
          <w:b/>
          <w:bCs/>
          <w:szCs w:val="24"/>
        </w:rPr>
        <w:t>Fares</w:t>
      </w:r>
      <w:r w:rsidR="00AC70A0" w:rsidRPr="005E4C72">
        <w:rPr>
          <w:rFonts w:cs="Arial"/>
          <w:b/>
          <w:bCs/>
          <w:szCs w:val="24"/>
        </w:rPr>
        <w:t xml:space="preserve"> as </w:t>
      </w:r>
      <w:proofErr w:type="gramStart"/>
      <w:r w:rsidR="00AC70A0" w:rsidRPr="005E4C72">
        <w:rPr>
          <w:rFonts w:cs="Arial"/>
          <w:b/>
          <w:bCs/>
          <w:szCs w:val="24"/>
        </w:rPr>
        <w:t>at</w:t>
      </w:r>
      <w:proofErr w:type="gramEnd"/>
      <w:r w:rsidR="00AC70A0" w:rsidRPr="005E4C72">
        <w:rPr>
          <w:rFonts w:cs="Arial"/>
          <w:b/>
          <w:bCs/>
          <w:szCs w:val="24"/>
        </w:rPr>
        <w:t xml:space="preserve"> 1 July 2022</w:t>
      </w:r>
      <w:r w:rsidRPr="005E4C72">
        <w:rPr>
          <w:rFonts w:cs="Arial"/>
          <w:b/>
          <w:bCs/>
          <w:szCs w:val="24"/>
        </w:rPr>
        <w:t>:</w:t>
      </w:r>
    </w:p>
    <w:p w14:paraId="0ABB2723" w14:textId="77777777" w:rsidR="00AC70A0" w:rsidRPr="00AC70A0" w:rsidRDefault="00AC70A0" w:rsidP="00AC70A0">
      <w:pPr>
        <w:spacing w:before="100" w:beforeAutospacing="1" w:after="100" w:afterAutospacing="1"/>
        <w:jc w:val="left"/>
        <w:outlineLvl w:val="1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t>Prices (each way)</w:t>
      </w:r>
    </w:p>
    <w:p w14:paraId="48D92DAD" w14:textId="77777777" w:rsidR="00AC70A0" w:rsidRPr="00AC70A0" w:rsidRDefault="00AC70A0" w:rsidP="00AC70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t>Adults - £2.00</w:t>
      </w:r>
    </w:p>
    <w:p w14:paraId="4EBA1605" w14:textId="77777777" w:rsidR="00AC70A0" w:rsidRPr="00AC70A0" w:rsidRDefault="00AC70A0" w:rsidP="00AC70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t>OAPs - £2.00</w:t>
      </w:r>
    </w:p>
    <w:p w14:paraId="53EBA54B" w14:textId="77777777" w:rsidR="00AC70A0" w:rsidRPr="00AC70A0" w:rsidRDefault="00AC70A0" w:rsidP="00AC70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t>Children - £2.00</w:t>
      </w:r>
    </w:p>
    <w:p w14:paraId="1231022B" w14:textId="77777777" w:rsidR="00AC70A0" w:rsidRPr="00AC70A0" w:rsidRDefault="00AC70A0" w:rsidP="00AC70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t>Child in pram - £1.00</w:t>
      </w:r>
    </w:p>
    <w:p w14:paraId="7D2CEFE1" w14:textId="77777777" w:rsidR="00AC70A0" w:rsidRPr="00AC70A0" w:rsidRDefault="00AC70A0" w:rsidP="00AC70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t>Dogs/bikes - 50p</w:t>
      </w:r>
    </w:p>
    <w:p w14:paraId="3FFB76C9" w14:textId="77777777" w:rsidR="00AC70A0" w:rsidRPr="00AC70A0" w:rsidRDefault="00AC70A0" w:rsidP="00AC70A0">
      <w:pPr>
        <w:spacing w:before="100" w:beforeAutospacing="1" w:after="100" w:afterAutospacing="1"/>
        <w:jc w:val="left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t>Jet Ski or Boat Launch: £10.00</w:t>
      </w:r>
    </w:p>
    <w:p w14:paraId="76FCB67C" w14:textId="77777777" w:rsidR="00AC70A0" w:rsidRDefault="00AC70A0" w:rsidP="00AC70A0">
      <w:pPr>
        <w:spacing w:before="100" w:beforeAutospacing="1" w:after="100" w:afterAutospacing="1"/>
        <w:jc w:val="left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lastRenderedPageBreak/>
        <w:t xml:space="preserve">Annual memberships for unlimited launches </w:t>
      </w:r>
      <w:proofErr w:type="gramStart"/>
      <w:r w:rsidRPr="00AC70A0">
        <w:rPr>
          <w:rFonts w:cs="Arial"/>
          <w:color w:val="2C3E50"/>
          <w:szCs w:val="24"/>
        </w:rPr>
        <w:t>is</w:t>
      </w:r>
      <w:proofErr w:type="gramEnd"/>
      <w:r w:rsidRPr="00AC70A0">
        <w:rPr>
          <w:rFonts w:cs="Arial"/>
          <w:color w:val="2C3E50"/>
          <w:szCs w:val="24"/>
        </w:rPr>
        <w:t xml:space="preserve"> £60 (April - April)</w:t>
      </w:r>
    </w:p>
    <w:p w14:paraId="50A2C78B" w14:textId="77777777" w:rsidR="00AC70A0" w:rsidRPr="00AC70A0" w:rsidRDefault="00AC70A0" w:rsidP="00AC70A0">
      <w:pPr>
        <w:spacing w:before="100" w:beforeAutospacing="1" w:after="100" w:afterAutospacing="1"/>
        <w:jc w:val="left"/>
        <w:rPr>
          <w:rFonts w:cs="Arial"/>
          <w:color w:val="2C3E50"/>
          <w:szCs w:val="24"/>
        </w:rPr>
      </w:pPr>
      <w:r w:rsidRPr="00AC70A0">
        <w:rPr>
          <w:rFonts w:cs="Arial"/>
          <w:color w:val="2C3E50"/>
          <w:szCs w:val="24"/>
        </w:rPr>
        <w:t>No concessions or motor vehicles.</w:t>
      </w:r>
    </w:p>
    <w:p w14:paraId="4DB15C72" w14:textId="77777777" w:rsidR="00AC70A0" w:rsidRPr="00AC70A0" w:rsidRDefault="00AC70A0" w:rsidP="00AC70A0">
      <w:pPr>
        <w:pStyle w:val="Heading2"/>
        <w:rPr>
          <w:rFonts w:ascii="Arial" w:hAnsi="Arial" w:cs="Arial"/>
          <w:color w:val="2C3E50"/>
          <w:sz w:val="24"/>
          <w:szCs w:val="24"/>
        </w:rPr>
      </w:pPr>
      <w:r w:rsidRPr="00AC70A0">
        <w:rPr>
          <w:rFonts w:ascii="Arial" w:hAnsi="Arial" w:cs="Arial"/>
          <w:color w:val="2C3E50"/>
          <w:sz w:val="24"/>
          <w:szCs w:val="24"/>
        </w:rPr>
        <w:t>Timetable</w:t>
      </w:r>
    </w:p>
    <w:p w14:paraId="50A53EF7" w14:textId="7C7AA393" w:rsidR="00AC70A0" w:rsidRPr="00AC70A0" w:rsidRDefault="00AC70A0" w:rsidP="001736F7">
      <w:pPr>
        <w:pStyle w:val="NormalWeb"/>
        <w:jc w:val="both"/>
        <w:rPr>
          <w:rFonts w:ascii="Arial" w:hAnsi="Arial" w:cs="Arial"/>
          <w:color w:val="2C3E50"/>
        </w:rPr>
      </w:pPr>
      <w:r w:rsidRPr="00AC70A0">
        <w:rPr>
          <w:rFonts w:ascii="Arial" w:hAnsi="Arial" w:cs="Arial"/>
          <w:color w:val="2C3E50"/>
        </w:rPr>
        <w:t>The ferry operate</w:t>
      </w:r>
      <w:r w:rsidR="00354495">
        <w:rPr>
          <w:rFonts w:ascii="Arial" w:hAnsi="Arial" w:cs="Arial"/>
          <w:color w:val="2C3E50"/>
        </w:rPr>
        <w:t>s</w:t>
      </w:r>
      <w:r w:rsidRPr="00AC70A0">
        <w:rPr>
          <w:rFonts w:ascii="Arial" w:hAnsi="Arial" w:cs="Arial"/>
          <w:color w:val="2C3E50"/>
        </w:rPr>
        <w:t xml:space="preserve"> from 7.45am to 5.45pm. Sailings </w:t>
      </w:r>
      <w:r w:rsidR="00354495">
        <w:rPr>
          <w:rFonts w:ascii="Arial" w:hAnsi="Arial" w:cs="Arial"/>
          <w:color w:val="2C3E50"/>
        </w:rPr>
        <w:t>are</w:t>
      </w:r>
      <w:r w:rsidRPr="00AC70A0">
        <w:rPr>
          <w:rFonts w:ascii="Arial" w:hAnsi="Arial" w:cs="Arial"/>
          <w:color w:val="2C3E50"/>
        </w:rPr>
        <w:t xml:space="preserve"> half hourly at 15 and 45 minutes past the hour from Fleetwood. Sailings from Knott End are approximately five minutes later. </w:t>
      </w:r>
      <w:r w:rsidR="005E4C72" w:rsidRPr="00AC70A0">
        <w:rPr>
          <w:rFonts w:ascii="Arial" w:hAnsi="Arial" w:cs="Arial"/>
          <w:color w:val="2C3E50"/>
        </w:rPr>
        <w:t xml:space="preserve"> </w:t>
      </w:r>
      <w:r w:rsidRPr="00AC70A0">
        <w:rPr>
          <w:rFonts w:ascii="Arial" w:hAnsi="Arial" w:cs="Arial"/>
          <w:color w:val="2C3E50"/>
        </w:rPr>
        <w:t xml:space="preserve">For up to date sailing times, </w:t>
      </w:r>
      <w:r w:rsidR="00354495">
        <w:rPr>
          <w:rFonts w:ascii="Arial" w:hAnsi="Arial" w:cs="Arial"/>
          <w:color w:val="2C3E50"/>
        </w:rPr>
        <w:t xml:space="preserve">see </w:t>
      </w:r>
      <w:r w:rsidRPr="00AC70A0">
        <w:rPr>
          <w:rFonts w:ascii="Arial" w:hAnsi="Arial" w:cs="Arial"/>
          <w:color w:val="2C3E50"/>
        </w:rPr>
        <w:t>the</w:t>
      </w:r>
      <w:hyperlink r:id="rId7" w:history="1">
        <w:r w:rsidRPr="00AC70A0">
          <w:rPr>
            <w:rStyle w:val="Hyperlink"/>
            <w:rFonts w:ascii="Arial" w:hAnsi="Arial" w:cs="Arial"/>
            <w:color w:val="003DA5"/>
          </w:rPr>
          <w:t> Fleetwood to Knott End Ferry Facebook</w:t>
        </w:r>
      </w:hyperlink>
    </w:p>
    <w:p w14:paraId="5F67B8C2" w14:textId="07E231A5" w:rsidR="004121EA" w:rsidRPr="00AC70A0" w:rsidRDefault="00AC70A0" w:rsidP="001736F7">
      <w:pPr>
        <w:spacing w:after="160" w:line="259" w:lineRule="auto"/>
        <w:rPr>
          <w:rFonts w:cs="Arial"/>
          <w:szCs w:val="24"/>
        </w:rPr>
      </w:pPr>
      <w:r w:rsidRPr="00AC70A0">
        <w:rPr>
          <w:rFonts w:cs="Arial"/>
          <w:color w:val="050505"/>
          <w:szCs w:val="24"/>
          <w:shd w:val="clear" w:color="auto" w:fill="FFFFFF"/>
        </w:rPr>
        <w:t>Please note times may be subject to change due to unpredictable circumstances such as weather and tides.</w:t>
      </w:r>
    </w:p>
    <w:p w14:paraId="1FC1B5B1" w14:textId="65640E55" w:rsidR="006F1CDA" w:rsidRDefault="006F1CDA">
      <w:pPr>
        <w:spacing w:after="160" w:line="259" w:lineRule="auto"/>
        <w:jc w:val="left"/>
      </w:pPr>
    </w:p>
    <w:p w14:paraId="4A86B436" w14:textId="1A5D6AC5" w:rsidR="006F1CDA" w:rsidRDefault="006F1CDA">
      <w:pPr>
        <w:spacing w:after="160" w:line="259" w:lineRule="auto"/>
        <w:jc w:val="left"/>
      </w:pPr>
    </w:p>
    <w:sectPr w:rsidR="006F1CDA" w:rsidSect="000705F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9579" w14:textId="77777777" w:rsidR="000705F1" w:rsidRDefault="000705F1" w:rsidP="000705F1">
      <w:r>
        <w:separator/>
      </w:r>
    </w:p>
  </w:endnote>
  <w:endnote w:type="continuationSeparator" w:id="0">
    <w:p w14:paraId="7CF769DC" w14:textId="77777777" w:rsidR="000705F1" w:rsidRDefault="000705F1" w:rsidP="000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23AE" w14:textId="77777777" w:rsidR="000705F1" w:rsidRDefault="000705F1" w:rsidP="000705F1">
      <w:r>
        <w:separator/>
      </w:r>
    </w:p>
  </w:footnote>
  <w:footnote w:type="continuationSeparator" w:id="0">
    <w:p w14:paraId="08159CC3" w14:textId="77777777" w:rsidR="000705F1" w:rsidRDefault="000705F1" w:rsidP="0007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203"/>
    <w:multiLevelType w:val="multilevel"/>
    <w:tmpl w:val="D3F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66"/>
    <w:rsid w:val="000705F1"/>
    <w:rsid w:val="001736F7"/>
    <w:rsid w:val="00292821"/>
    <w:rsid w:val="002A57EC"/>
    <w:rsid w:val="00354495"/>
    <w:rsid w:val="004121EA"/>
    <w:rsid w:val="005E4C72"/>
    <w:rsid w:val="006F1CDA"/>
    <w:rsid w:val="00A72130"/>
    <w:rsid w:val="00AA1266"/>
    <w:rsid w:val="00AC70A0"/>
    <w:rsid w:val="00B42F91"/>
    <w:rsid w:val="00B601C6"/>
    <w:rsid w:val="00DB1CE8"/>
    <w:rsid w:val="00DC5047"/>
    <w:rsid w:val="00E27061"/>
    <w:rsid w:val="00EE31F9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FA99"/>
  <w15:chartTrackingRefBased/>
  <w15:docId w15:val="{8CAC29CA-42EC-472D-A5FD-A7825B5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C70A0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1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DA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0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F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C70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AC70A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C70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leetwoodtoKnottEndFerry/?hc_ref=ARS7yfOYlx6RAMaQVkTh07ufIshpr02xCsiozAUIrjPpXxgE9JQ8T-9VPC5jzJZ08IE&amp;fref=nf&amp;__xts__%5B0%5D=68.ARDLwx-nDfg918mzyn5Mbzxc5wrdZQn-XNIY0rAkyzLh9x4kWmTyVFZOuXN4PdOJCIKF4ANUiswA7O8QESHAWpL2d-qmBuycvat216yzjwvOuqlLauHRwhO4ZzuJ8rwpg59iNmh3MZtbZ1ArTFbLJiGNIeItDBpLC1ETMCLSuRalCCSFtT6JLuZnpWnL-WaE4YtTC0JHHYJ-35hoz1rawWCteyVt9jQUJK_jJS1UVZ-OHiBP911zdCyHb5ZnMoyfPh5tx4llHaSBXzlwp5czlZv7EPxzRbLNTpKe-4d6KMYJGOWBbhgCmkh4mg-JwBTGFMJZUCHtQlRR1Bq2roI&amp;__tn__=kC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Varley, Andrew</dc:creator>
  <cp:keywords/>
  <dc:description/>
  <cp:lastModifiedBy>Gorman, Dave</cp:lastModifiedBy>
  <cp:revision>10</cp:revision>
  <dcterms:created xsi:type="dcterms:W3CDTF">2022-08-10T09:51:00Z</dcterms:created>
  <dcterms:modified xsi:type="dcterms:W3CDTF">2022-08-22T14:37:00Z</dcterms:modified>
</cp:coreProperties>
</file>